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52"/>
          <w:szCs w:val="72"/>
        </w:rPr>
        <w:t>系统报考端口开通申请表</w:t>
      </w:r>
    </w:p>
    <w:tbl>
      <w:tblPr>
        <w:tblStyle w:val="3"/>
        <w:tblpPr w:leftFromText="180" w:rightFromText="180" w:vertAnchor="text" w:horzAnchor="page" w:tblpX="1800" w:tblpY="2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机构全称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机构简介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具备条件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（包含专职的考务人员、师资团队、授课计划、班级管理制度、考勤制度以及相应的场地、视频监控等设备设施或具备网络课程培训系统等）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考务部意见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协会领导意见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Mzc5NzZhZTk4YjA5MzU3NDc4M2Q0ZDQzYWE5ZmYifQ=="/>
  </w:docVars>
  <w:rsids>
    <w:rsidRoot w:val="56223F53"/>
    <w:rsid w:val="5622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2023-02-20T07:03:00Z</dcterms:created>
  <dc:creator>詹贤兒</dc:creator>
  <cp:lastModifiedBy>詹贤兒</cp:lastModifiedBy>
  <dcterms:modified xsi:type="dcterms:W3CDTF">2023-02-20T07:12:19Z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1112BFAD7E9840DA8D310D80AF1A0EEF</vt:lpwstr>
  </property>
</Properties>
</file>